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Times New Roman" w:hAnsi="Times New Roman" w:eastAsia="黑体"/>
          <w:kern w:val="0"/>
          <w:sz w:val="32"/>
          <w:u w:val="none" w:color="000000"/>
        </w:rPr>
      </w:pPr>
      <w:r>
        <w:rPr>
          <w:rFonts w:ascii="Times New Roman" w:hAnsi="Times New Roman" w:eastAsia="黑体"/>
          <w:kern w:val="0"/>
          <w:sz w:val="32"/>
          <w:u w:val="none" w:color="000000"/>
        </w:rPr>
        <w:t>附件1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年水运工程设计与施工企业信用评价结果汇总表</w:t>
      </w:r>
    </w:p>
    <w:p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0"/>
          <w:u w:val="none" w:color="000000"/>
        </w:rPr>
      </w:pPr>
      <w:r>
        <w:rPr>
          <w:rFonts w:ascii="Times New Roman" w:hAnsi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val="none"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报出日期：202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>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15"/>
        <w:gridCol w:w="1215"/>
        <w:gridCol w:w="1215"/>
        <w:gridCol w:w="1285"/>
        <w:gridCol w:w="1285"/>
        <w:gridCol w:w="1285"/>
        <w:gridCol w:w="757"/>
        <w:gridCol w:w="758"/>
        <w:gridCol w:w="124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组织机构代码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企业属性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投标行为评  分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履约行为评  分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其他信用行为评分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加分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信用总分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在评价省信用等级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**设计公司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设计企业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AA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**设计公司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设计企业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57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B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4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C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5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D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SYSG1-1-1，出借资质证书，直接定为D级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                               联系电话：</w:t>
      </w:r>
    </w:p>
    <w:p>
      <w:pPr>
        <w:jc w:val="left"/>
        <w:rPr>
          <w:rFonts w:ascii="Times New Roman" w:hAnsi="Times New Roman"/>
          <w:sz w:val="24"/>
        </w:rPr>
      </w:pP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填表要求：1.企业名称：应与企业资质证书上的名称一致，按设计与施工企业分类填报； </w:t>
      </w:r>
    </w:p>
    <w:p>
      <w:pPr>
        <w:jc w:val="left"/>
      </w:pPr>
      <w:r>
        <w:rPr>
          <w:rFonts w:ascii="Times New Roman" w:hAnsi="Times New Roman"/>
          <w:sz w:val="24"/>
        </w:rPr>
        <w:t xml:space="preserve">          2.备注：企业年度信用评价直接定为“D”级的，备注中应说明具体的失信行为。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4A83"/>
    <w:rsid w:val="424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2024-02-18T09:27:00Z</dcterms:created>
  <dc:creator>刘欣欣</dc:creator>
  <cp:lastModifiedBy>刘欣欣</cp:lastModifiedBy>
  <dcterms:modified xsi:type="dcterms:W3CDTF">2024-02-18T09:28:38Z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3199B7E4198E4C2E9F7C251034259838</vt:lpwstr>
  </property>
</Properties>
</file>